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204700" w:type="dxa"/>
        <w:gridCol w:w="291550" w:type="dxa"/>
      </w:tblGrid>
      <w:tblPr>
        <w:tblW w:w="250" w:type="pct"/>
        <w:tblLayout w:type="autofit"/>
        <w:bidiVisual w:val="0"/>
      </w:tblPr>
      <w:tr>
        <w:trPr>
          <w:tblHeader w:val="1"/>
        </w:trPr>
        <w:tc>
          <w:tcPr>
            <w:tcW w:w="2047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</w:tr>
      <w:tr>
        <w:trPr/>
        <w:tc>
          <w:tcPr>
            <w:tcW w:w="2047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Durante el año 2025 no hubo normas dictadas por este ayuntamiento, y no hubo procedimientos de elaboración normativa</w:t>
            </w:r>
          </w:p>
        </w:tc>
      </w:tr>
      <w:tr>
        <w:trPr/>
        <w:tc>
          <w:tcPr>
            <w:tcW w:w="2047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Durante el año 2024 no hubo normas dictadas por este ayuntamiento, y no hubo procedimientos de elaboración normativa</w:t>
            </w:r>
          </w:p>
        </w:tc>
      </w:tr>
      <w:tr>
        <w:trPr/>
        <w:tc>
          <w:tcPr>
            <w:tcW w:w="2047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91550" w:type="pct"/>
            <w:vAlign w:val="center"/>
          </w:tcPr>
          <w:p>
            <w:pPr>
              <w:jc w:val="center"/>
            </w:pPr>
            <w:r>
              <w:rPr/>
              <w:t xml:space="preserve">Durante el el segundo semestre del año 2023 no hubo normas dictadas por este ayuntamiento, y no hubo procedimientos de elaboración normativa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2026-08-26T17:30:08+00:00</dcterms:created>
  <dcterms:modified xsi:type="dcterms:W3CDTF">2026-08-26T17:30:08+00:00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