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CATEGORÍAS DE DATOS PERSONALES OBJETO DE TRATAMIENTO POR EL  AYTO. DE LOS LLANOS DE ARIDANE</w:t>
      </w:r>
    </w:p>
    <w:p>
      <w:pPr>
        <w:jc w:val="both"/>
      </w:pPr>
      <w:r>
        <w:rPr/>
        <w:t xml:space="preserve">• De carácter identificativo (nombre, apellidos, teléfono, imagen, DNI/NIF).  • De carácter tributario (en la gestión de los tributos municipales).  • Académicos y profesionales (en la gestión de procedimientos selectivos, bolsas de empleo, recursos humanos).  • En el ejercicio de la potestad sancionadora (aquellos derivados de la tramitación de expedientes sancionadores). • Categorías especiales de datos (origen racial, salud o vida sexual en un servicio de atención a mujeres víctimas de violencia de género o en la prestación de servicios sociales).  • La implementación de las “Smart Cities” también puede conllevar un tratamiento de diferentes datos de carácter personal.</w:t>
      </w:r>
    </w:p>
    <w:p>
      <w:pPr>
        <w:jc w:val="both"/>
      </w:pPr>
      <w:r>
        <w:rPr/>
        <w:t xml:space="preserve">Cualquier actividad en la que estén presentes datos de carácter personal constituirá un tratamiento de datos, ya se realice de manera manual o automatizada, total o parcialmente, como la recogida, registro, organización, estructuración, conservación, adaptación o modificación, extracción, consulta, utilización, comunicación por transmisión, difusión o cualquier otra forma de habilitación de acceso, cotejo o interconexión, limitación, supresión o destrucción. </w:t>
      </w:r>
    </w:p>
    <w:p>
      <w:pPr>
        <w:jc w:val="both"/>
      </w:pPr>
      <w:r>
        <w:rPr/>
        <w:t xml:space="preserve">La Administración Local, de conformidad con la normativa de régimen local, presta una serie de servicios públicos ligados a las diferentes competencias o funciones que llevan a cabo. Para prestar los mismos, recaban y tratan datos de carácter personal de sus ciudadanos, que son tratados total o parcialmente de forma automatizada o no.</w:t>
      </w:r>
    </w:p>
    <w:p>
      <w:pPr>
        <w:jc w:val="both"/>
      </w:pPr>
      <w:r>
        <w:rPr/>
        <w:t xml:space="preserve">Asimismo,para identificar los tratamientos de los Ayuntamientos se deben tener presente las competencias de los mismos en función de la población:</w:t>
      </w:r>
    </w:p>
    <w:p>
      <w:pPr/>
      <w:r>
        <w:rPr/>
        <w:t xml:space="preserve">• Padrón municipal de habitantes  • Subvenciones y ayudas  • Sanciones  • Obras y licencias  • Policía local  • Gestión de tributos  • Bolsas de trabajo  • Recaudación ejecutiva  • Registro de documentos  • Cementerio municipal  • Recursos humanos  • Biblioteca municipal  • Servicios sociales  • Educación infantil  • Gestión económica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2026-10-13T01:33:12+00:00</dcterms:created>
  <dcterms:modified xsi:type="dcterms:W3CDTF">2026-10-13T01:33:12+00:00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