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47700" w:type="dxa"/>
        <w:gridCol w:w="34935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147700" w:type="pct"/>
            <w:vAlign w:val="center"/>
          </w:tcPr>
          <w:p>
            <w:pPr>
              <w:jc w:val="center"/>
            </w:pPr>
            <w:r>
              <w:rPr/>
              <w:t xml:space="preserve">Clase de Documento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Tarifa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Censos de población de habitantes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empadronamiento 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Volantes de fe de vida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Certificaciones de convivencia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residencia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pensiones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residencia o viaje através de la Sede Electrónic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Certificados y compulsas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Certificación de documentos y acuerdos municipales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Presentación de documentos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Cotejo de documentos (Compulsas)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Bastanteo de poderes que hayan de surtir efecto en las Oficinas Municipales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25,00 €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shd w:val="clear" w:fill="rgba(9, 175, 223, 0.5)"/>
              </w:rPr>
              <w:t xml:space="preserve">Documentos Expedidos o extendidos por las oficinas Municipales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 de certificaciones e informes en expedientes de traspasos de licencias o similares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Visado de documentos en general, no expresamente tarifados, por cada uno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documento que se expida en fotocopia (por folio)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documento por xerocopia autorizado por certificación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contrato administrativo que se suscriba, de bienes, obras y servicios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9,50 €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hoja de más incorporada a cualquier escrito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fotocopia de plano en formato superior a DIN3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Notas simples catastrales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Certificaciones catastrales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5,00 €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Documentos expedidos o extendidos en las Oficinas Municipales de La Policía Local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 de copia diligenciada de atestados, diligencias a prevención o similares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60,00 €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emisión o ampliación de informes o diligencias de la Policía Local solicitados por particulares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informes relativos a convivencia/residencia instados por particulares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Documentos de Sanidad y Consumo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cert. o informe de orden sanitario, para que surta efectos fuera de Los LLanos 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papeleta que libren los Inspectores Municipales Veterinarios, sobre reconocimiento sanitario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guía para la circulación o facturación de sustancias de alimenticias de primera necesidad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expedición de licencia para la tenencia de animales potencialmente peligrosos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40,00 €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Concesiones y Licencias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de autotaxis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137,00 €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para sustitución de vehículo de forma temporal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para sustitución de vehículo de forma permanente o definitiva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conductor asalariado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de armas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Otras licencias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Otros expedientes o documentos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la publicación de edictos para la inmatriculación de fincas o expedientes de dominio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Cualquier otro documento no expresamente tarifado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Cambio de titularidad de actividad inocua o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Inicio de actividad inocua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Inicio de actividad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Traslado a otro local de actividad inocua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Traslado a otro local de actividad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Ocupación de espacio público para terrazas, mesas y sillas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Quioscos en la vía pública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Inspección de establecimientos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Portadas, escaparates y vitrinas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Abastecimiento de agua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Alcantarillado y saneamiento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Canon por aprovechamiento urbanístico en suelo rústico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Recogida domiciliaria de basura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I.B.I.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Apertura de calicatas y zanjas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urbanísticas de obra menor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urbanísticas de obra mayor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Impuesto de vehículos de tracción mecánica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Vados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Voz pública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Venta ambulante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Cementerio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Concesión de nicho de ocupación temporal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450,77 €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Concesión de nicho de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855,71 €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cadáveres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345,85 €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niños o de órganos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172,25 €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restos cadavéricos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172,25 €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Cuota de conservación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25,14 €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Duplicado de títulos funerarios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Exhumación de cadáveres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170,38 €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Expedición. Canje de títulos funerarios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Inhumación de nichos usados. Con reducción a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170,38 €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Inhumación de primer uso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167,50 €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Lápidas. Modificación o colocación de lápidas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49,60 €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Modificación del derecho funerario. Traspasos inter vivos o mortis causa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Nichos de ocupación temporal + nicho de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896,85 €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Otras exhumaciones (restos o cenizas)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167,50 €</w:t>
            </w:r>
          </w:p>
        </w:tc>
      </w:tr>
    </w:tbl>
    <w:p>
      <w:pPr/>
      <w:r>
        <w:rPr/>
        <w:t xml:space="preserve"> </w:t>
      </w:r>
    </w:p>
    <w:tbl>
      <w:tblGrid>
        <w:gridCol w:w="138250" w:type="dxa"/>
        <w:gridCol w:w="36940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138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69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38250" w:type="pct"/>
            <w:vAlign w:val="center"/>
          </w:tcPr>
          <w:p>
            <w:pPr>
              <w:jc w:val="center"/>
            </w:pPr>
            <w:r>
              <w:rPr/>
              <w:t xml:space="preserve">Tarifas de los servicios 2020 </w:t>
            </w:r>
          </w:p>
        </w:tc>
        <w:tc>
          <w:tcPr>
            <w:tcW w:w="369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2026-05-06T15:54:32+00:00</dcterms:created>
  <dcterms:modified xsi:type="dcterms:W3CDTF">2026-05-06T15:54:32+00:00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