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22950" w:type="dxa"/>
        <w:gridCol w:w="183650" w:type="dxa"/>
        <w:gridCol w:w="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2025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2024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2023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Esta institución no cuenta con Informes y dictámenes de los proyectos en el año 2022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22-07-21 aprobación inicial ordenanza zonificación y parámetros urbanísticos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20-05-21 reglamento agrupacion local de voluntarios de protección civil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dominio público mesas sillas tribunas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general de gestion plan de pagos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tasa licencia de apertura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Hacienda 29-07-21 modif ordenanza fiscal tasa portadas escaparates vitrinas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229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650" w:type="pct"/>
            <w:vAlign w:val="center"/>
          </w:tcPr>
          <w:p>
            <w:pPr>
              <w:jc w:val="center"/>
            </w:pPr>
            <w:r>
              <w:rPr/>
              <w:t xml:space="preserve">Dictamen CI promo económica 29-07-21 reglamento patrimonio cultural    </w:t>
            </w:r>
          </w:p>
        </w:tc>
        <w:tc>
          <w:tcPr>
            <w:tcW w:w="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2026-06-22T01:10:04+00:00</dcterms:created>
  <dcterms:modified xsi:type="dcterms:W3CDTF">2026-06-22T01:10:04+00:00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