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0300" w:type="dxa"/>
        <w:gridCol w:w="3103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2025,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2024, esta entidad no ha emitido directrices, instrucciones ni circulares que afecten al funcionamiento o regulación interna, por lo que no existe información que publicar.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2023 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segundo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primer semestre del año 2023, esta entidad no ha emitido directrices, instrucciones ni circulares que afecten al funcionamiento o regulación interna.    </w:t>
            </w:r>
          </w:p>
        </w:tc>
      </w:tr>
      <w:tr>
        <w:trPr/>
        <w:tc>
          <w:tcPr>
            <w:tcW w:w="2103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10350" w:type="pct"/>
            <w:vAlign w:val="center"/>
          </w:tcPr>
          <w:p>
            <w:pPr>
              <w:jc w:val="center"/>
            </w:pPr>
            <w:r>
              <w:rPr/>
              <w:t xml:space="preserve">Durante el año 2022, esta entidad no ha emitido directrices, instrucciones ni circulares que afecten al funcionamiento o regulación interna, por lo que no existe información que publicar.   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2026-06-22T01:09:02+00:00</dcterms:created>
  <dcterms:modified xsi:type="dcterms:W3CDTF">2026-06-22T01:09:02+00:00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