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Diciembre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Octubre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Agosto y Septiembre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Julio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Junio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Mayo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Febrero y Marzo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Enero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2025 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 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2024 - </w:t>
            </w:r>
            <w:r>
              <w:rPr>
                <w:b w:val="1"/>
                <w:bCs w:val="1"/>
              </w:rPr>
              <w:t xml:space="preserve">44.371,31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Se puede consultar en las bases de ejecución de los presupuestos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  2023 -  </w:t>
            </w:r>
            <w:r>
              <w:rPr>
                <w:b w:val="1"/>
                <w:bCs w:val="1"/>
              </w:rPr>
              <w:t xml:space="preserve">604,01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dietas concejales asistencia plenos comisiones 10-12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Gatos locomoción O.Gobierno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Indemnizaciones políticos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Compensaciones complementarias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2026-10-13T01:34:21+00:00</dcterms:created>
  <dcterms:modified xsi:type="dcterms:W3CDTF">2026-10-13T01:34:21+00:00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