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700" w:type="dxa"/>
        <w:gridCol w:w="19150" w:type="dxa"/>
        <w:gridCol w:w="155700" w:type="dxa"/>
      </w:tblGrid>
      <w:tblPr>
        <w:tblW w:w="1850" w:type="pct"/>
        <w:tblLayout w:type="autofit"/>
        <w:bidiVisual w:val="0"/>
      </w:tblPr>
      <w:tr>
        <w:trPr>
          <w:tblHeader w:val="1"/>
        </w:trPr>
        <w:tc>
          <w:tcPr>
            <w:tcW w:w="350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50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económico-financieros, de reequilibrio y de ajuste en el año 2025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50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económico-financieros, de reequilibrio y de ajuste en el año 2024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50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económico-financieros, de reequilibrio y de ajuste en el año 2023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507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económico-financieros, de reequilibrio y de ajuste en el año 2022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507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económico-financieros, de reequilibrio y de ajuste en el año 2021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507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/>
              <w:t xml:space="preserve">Plan económico 2020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2026-08-26T17:25:35+00:00</dcterms:created>
  <dcterms:modified xsi:type="dcterms:W3CDTF">2026-08-26T17:25:35+00:00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