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5200" w:type="dxa"/>
        <w:gridCol w:w="477600" w:type="dxa"/>
        <w:gridCol w:w="330450" w:type="dxa"/>
        <w:gridCol w:w="22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52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8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5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12.609.136,34 €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45,03%</w:t>
            </w: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113.213, 27€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108.632,64€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76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30450" w:type="pct"/>
            <w:vAlign w:val="center"/>
          </w:tcPr>
          <w:p>
            <w:pPr>
              <w:jc w:val="center"/>
            </w:pPr>
            <w:r>
              <w:rPr/>
              <w:t xml:space="preserve">1.544.568,01 € </w:t>
            </w:r>
          </w:p>
        </w:tc>
        <w:tc>
          <w:tcPr>
            <w:tcW w:w="220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164050" w:type="dxa"/>
        <w:gridCol w:w="474200" w:type="dxa"/>
        <w:gridCol w:w="328100" w:type="dxa"/>
        <w:gridCol w:w="1950" w:type="dxa"/>
      </w:tblGrid>
      <w:tblPr>
        <w:tblW w:w="950" w:type="pct"/>
        <w:tblLayout w:type="autofit"/>
        <w:bidiVisual w:val="0"/>
      </w:tblPr>
      <w:tr>
        <w:trPr>
          <w:tblHeader w:val="1"/>
        </w:trPr>
        <w:tc>
          <w:tcPr>
            <w:tcW w:w="1640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302300" w:type="pct"/>
            <w:vAlign w:val="center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Gastos</w:t>
            </w:r>
            <w:r>
              <w:rPr>
                <w:b w:val="1"/>
                <w:bCs w:val="1"/>
              </w:rPr>
              <w:t xml:space="preserve"> 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 </w:t>
            </w: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12.293.401,34 €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46,36%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99.220,00 €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2.116.255,66 €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1.647.105,63 €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40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de Personal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11.588.941,81€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Porcentaje Gasto Personal sobre total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47,6%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arrendamiento de Bienes Inmuebles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114.725,84 €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Patrocinio y Campañas de Publicidad Institucional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1.605.444,01 €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74200" w:type="pct"/>
            <w:vAlign w:val="center"/>
          </w:tcPr>
          <w:p>
            <w:pPr>
              <w:jc w:val="center"/>
            </w:pPr>
            <w:r>
              <w:rPr/>
              <w:t xml:space="preserve">Gasto ayudas y subvenciones para actividades económicas</w:t>
            </w:r>
          </w:p>
        </w:tc>
        <w:tc>
          <w:tcPr>
            <w:tcW w:w="328100" w:type="pct"/>
            <w:vAlign w:val="center"/>
          </w:tcPr>
          <w:p>
            <w:pPr>
              <w:jc w:val="center"/>
            </w:pPr>
            <w:r>
              <w:rPr/>
              <w:t xml:space="preserve">1.894.140,22 € </w:t>
            </w:r>
          </w:p>
        </w:tc>
        <w:tc>
          <w:tcPr>
            <w:tcW w:w="19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económico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gasto funcional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personal eventual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Presupuesto resumen órganos de gobierno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indefinido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órganos de gobierno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personal eventual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concepto de arrendamiento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 economicas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en campañas de publicidad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personal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temporal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laboral fijo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personal funcionario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Gastos de representacion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Gasto por habitante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Arrendamiento de bienes inmuebles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2026-05-06T15:53:05+00:00</dcterms:created>
  <dcterms:modified xsi:type="dcterms:W3CDTF">2026-05-06T15:53:05+00:00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