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El Ayuntamiento de Los Llanos de Aridane tiene la obligación legal de responder a todas las solicitudes de acceso a la información pública que gocen de legitmidad. El consistorio puede incurrir en silencio administrativo (no contesta al ciudadano o no lo hace en plazo) o directamente resuelve desfavorablemente, es decir, deniega el acceso a la información demandada. </w:t>
      </w:r>
    </w:p>
    <w:p>
      <w:pPr>
        <w:jc w:val="both"/>
      </w:pPr>
      <w:r>
        <w:rPr/>
        <w:t xml:space="preserve">Cuando se dan esos dos escenarios la persona recurrente puede instar al Comisionado de Transparencia de Canarias que le ampare. Cuando eso ocurre y una vez finalizado el procedimiento, el Comisionado de Transparencia de Canarias (después de anonimizar la resolución) publica todas las reclamaciones formuladas contra el Ayuntamiento de Gáldar. </w:t>
      </w:r>
    </w:p>
    <w:p>
      <w:pPr>
        <w:jc w:val="both"/>
      </w:pPr>
      <w:r>
        <w:rPr/>
        <w:t xml:space="preserve">Los ciudadanos pueden consultar dichas resoluciones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2026-06-22T01:15:48+00:00</dcterms:created>
  <dcterms:modified xsi:type="dcterms:W3CDTF">2026-06-22T01:15:48+00:00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